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7" w:rsidRPr="00845C8F" w:rsidRDefault="003E1D57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707"/>
        <w:gridCol w:w="10775"/>
      </w:tblGrid>
      <w:tr w:rsidR="003E1D57" w:rsidRPr="00845C8F" w:rsidTr="00A6687F">
        <w:trPr>
          <w:cantSplit/>
          <w:tblHeader/>
        </w:trPr>
        <w:tc>
          <w:tcPr>
            <w:tcW w:w="1242" w:type="dxa"/>
            <w:shd w:val="clear" w:color="auto" w:fill="BFBFBF" w:themeFill="background1" w:themeFillShade="BF"/>
          </w:tcPr>
          <w:p w:rsidR="003E1D57" w:rsidRPr="00845C8F" w:rsidRDefault="003E1D57" w:rsidP="00F62B19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Section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E1D57" w:rsidRPr="00845C8F" w:rsidRDefault="003E1D57" w:rsidP="00F62B19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Lesson title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:rsidR="003E1D57" w:rsidRPr="00845C8F" w:rsidRDefault="0012258A" w:rsidP="00FE7C99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 xml:space="preserve">Page </w:t>
            </w:r>
          </w:p>
        </w:tc>
        <w:tc>
          <w:tcPr>
            <w:tcW w:w="10775" w:type="dxa"/>
            <w:shd w:val="clear" w:color="auto" w:fill="BFBFBF" w:themeFill="background1" w:themeFillShade="BF"/>
          </w:tcPr>
          <w:p w:rsidR="003E1D57" w:rsidRPr="00845C8F" w:rsidRDefault="003E1D57" w:rsidP="00F62B19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Objective(s)</w:t>
            </w:r>
          </w:p>
        </w:tc>
      </w:tr>
      <w:tr w:rsidR="005716A0" w:rsidRPr="00845C8F" w:rsidTr="00A6687F">
        <w:trPr>
          <w:cantSplit/>
        </w:trPr>
        <w:tc>
          <w:tcPr>
            <w:tcW w:w="1242" w:type="dxa"/>
          </w:tcPr>
          <w:p w:rsidR="005716A0" w:rsidRPr="00845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418" w:type="dxa"/>
          </w:tcPr>
          <w:p w:rsidR="005716A0" w:rsidRPr="00845C8F" w:rsidRDefault="00CB51A4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Stanley</w:t>
            </w:r>
          </w:p>
        </w:tc>
        <w:tc>
          <w:tcPr>
            <w:tcW w:w="707" w:type="dxa"/>
          </w:tcPr>
          <w:p w:rsidR="005716A0" w:rsidRPr="00845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716A0" w:rsidRPr="00845C8F" w:rsidRDefault="00845C8F" w:rsidP="00B31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Pr="00845C8F">
              <w:rPr>
                <w:rFonts w:cstheme="minorHAnsi"/>
                <w:sz w:val="18"/>
                <w:szCs w:val="18"/>
              </w:rPr>
              <w:t>understand what they read, in books t</w:t>
            </w:r>
            <w:r>
              <w:rPr>
                <w:rFonts w:cstheme="minorHAnsi"/>
                <w:sz w:val="18"/>
                <w:szCs w:val="18"/>
              </w:rPr>
              <w:t xml:space="preserve">hey can read independently, by </w:t>
            </w:r>
            <w:r w:rsidRPr="00845C8F">
              <w:rPr>
                <w:rFonts w:cstheme="minorHAnsi"/>
                <w:sz w:val="18"/>
                <w:szCs w:val="18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845C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716A0" w:rsidRPr="00845C8F" w:rsidTr="00A6687F">
        <w:trPr>
          <w:cantSplit/>
        </w:trPr>
        <w:tc>
          <w:tcPr>
            <w:tcW w:w="1242" w:type="dxa"/>
          </w:tcPr>
          <w:p w:rsidR="005716A0" w:rsidRPr="00845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418" w:type="dxa"/>
          </w:tcPr>
          <w:p w:rsidR="005716A0" w:rsidRPr="00845C8F" w:rsidRDefault="00CB51A4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Arthur and Stanley</w:t>
            </w:r>
          </w:p>
        </w:tc>
        <w:tc>
          <w:tcPr>
            <w:tcW w:w="707" w:type="dxa"/>
          </w:tcPr>
          <w:p w:rsidR="005716A0" w:rsidRPr="00845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716A0" w:rsidRPr="00845C8F" w:rsidRDefault="00845C8F" w:rsidP="00B31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Pr="00845C8F">
              <w:rPr>
                <w:rFonts w:cstheme="minorHAnsi"/>
                <w:sz w:val="18"/>
                <w:szCs w:val="18"/>
              </w:rPr>
              <w:t>understand what they read, in books t</w:t>
            </w:r>
            <w:r>
              <w:rPr>
                <w:rFonts w:cstheme="minorHAnsi"/>
                <w:sz w:val="18"/>
                <w:szCs w:val="18"/>
              </w:rPr>
              <w:t xml:space="preserve">hey can read independently, by </w:t>
            </w:r>
            <w:r w:rsidRPr="00845C8F">
              <w:rPr>
                <w:rFonts w:cstheme="minorHAnsi"/>
                <w:sz w:val="18"/>
                <w:szCs w:val="18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845C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716A0" w:rsidRPr="00845C8F" w:rsidTr="00A6687F">
        <w:trPr>
          <w:cantSplit/>
        </w:trPr>
        <w:tc>
          <w:tcPr>
            <w:tcW w:w="1242" w:type="dxa"/>
          </w:tcPr>
          <w:p w:rsidR="005716A0" w:rsidRPr="00845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418" w:type="dxa"/>
          </w:tcPr>
          <w:p w:rsidR="005716A0" w:rsidRPr="00845C8F" w:rsidRDefault="00CB51A4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The museum</w:t>
            </w:r>
          </w:p>
        </w:tc>
        <w:tc>
          <w:tcPr>
            <w:tcW w:w="707" w:type="dxa"/>
          </w:tcPr>
          <w:p w:rsidR="005716A0" w:rsidRPr="00845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845C8F">
              <w:rPr>
                <w:rFonts w:cstheme="minorHAnsi"/>
                <w:b/>
                <w:i/>
                <w:sz w:val="18"/>
                <w:szCs w:val="18"/>
              </w:rPr>
              <w:t>Years 5-6 programme of study: WRITING: Composition</w:t>
            </w:r>
          </w:p>
          <w:p w:rsidR="005061EA" w:rsidRPr="00845C8F" w:rsidRDefault="00B3118E" w:rsidP="0047521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845C8F" w:rsidRPr="00845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selecting appropriate grammar and vocabulary, understanding how such choices can change and enhance meaning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</w:tr>
      <w:tr w:rsidR="005716A0" w:rsidRPr="00845C8F" w:rsidTr="00A6687F">
        <w:trPr>
          <w:cantSplit/>
        </w:trPr>
        <w:tc>
          <w:tcPr>
            <w:tcW w:w="1242" w:type="dxa"/>
          </w:tcPr>
          <w:p w:rsidR="005716A0" w:rsidRPr="00845C8F" w:rsidRDefault="00AA1DB9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br w:type="page"/>
            </w:r>
            <w:r w:rsidR="005716A0" w:rsidRPr="00845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418" w:type="dxa"/>
          </w:tcPr>
          <w:p w:rsidR="005716A0" w:rsidRPr="00845C8F" w:rsidRDefault="00CB51A4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Key plot elements</w:t>
            </w:r>
          </w:p>
        </w:tc>
        <w:tc>
          <w:tcPr>
            <w:tcW w:w="707" w:type="dxa"/>
          </w:tcPr>
          <w:p w:rsidR="005716A0" w:rsidRPr="00845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716A0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>understand what they read, in books t</w:t>
            </w:r>
            <w:r>
              <w:rPr>
                <w:rFonts w:cstheme="minorHAnsi"/>
                <w:sz w:val="18"/>
                <w:szCs w:val="18"/>
              </w:rPr>
              <w:t xml:space="preserve">hey can read independently, by </w:t>
            </w:r>
            <w:r w:rsidR="00845C8F" w:rsidRPr="00845C8F">
              <w:rPr>
                <w:rFonts w:cstheme="minorHAnsi"/>
                <w:sz w:val="18"/>
                <w:szCs w:val="18"/>
              </w:rPr>
              <w:t>identifying how language, structure, and presentation contribute to meaning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45C8F" w:rsidRPr="00845C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716A0" w:rsidRPr="00845C8F" w:rsidTr="00A6687F">
        <w:trPr>
          <w:cantSplit/>
        </w:trPr>
        <w:tc>
          <w:tcPr>
            <w:tcW w:w="1242" w:type="dxa"/>
          </w:tcPr>
          <w:p w:rsidR="005716A0" w:rsidRPr="00845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418" w:type="dxa"/>
          </w:tcPr>
          <w:p w:rsidR="005716A0" w:rsidRPr="00845C8F" w:rsidRDefault="00CB51A4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What happened when…?</w:t>
            </w:r>
          </w:p>
        </w:tc>
        <w:tc>
          <w:tcPr>
            <w:tcW w:w="707" w:type="dxa"/>
          </w:tcPr>
          <w:p w:rsidR="005716A0" w:rsidRPr="00845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716A0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 xml:space="preserve">understand what they read, in books </w:t>
            </w:r>
            <w:r>
              <w:rPr>
                <w:rFonts w:cstheme="minorHAnsi"/>
                <w:sz w:val="18"/>
                <w:szCs w:val="18"/>
              </w:rPr>
              <w:t xml:space="preserve">they can read independently, by </w:t>
            </w:r>
            <w:r w:rsidR="00845C8F" w:rsidRPr="00845C8F">
              <w:rPr>
                <w:rFonts w:cstheme="minorHAnsi"/>
                <w:sz w:val="18"/>
                <w:szCs w:val="18"/>
              </w:rPr>
              <w:t>identifying how language, structure, and presentation contribute to meaning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45C8F" w:rsidRPr="00845C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br w:type="page"/>
              <w:t>Plot character and setting</w:t>
            </w:r>
          </w:p>
        </w:tc>
        <w:tc>
          <w:tcPr>
            <w:tcW w:w="1418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Viewpoint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775" w:type="dxa"/>
          </w:tcPr>
          <w:p w:rsidR="00845C8F" w:rsidRPr="00845C8F" w:rsidRDefault="00845C8F" w:rsidP="00F9130E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845C8F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>understand what they read, in books t</w:t>
            </w:r>
            <w:r>
              <w:rPr>
                <w:rFonts w:cstheme="minorHAnsi"/>
                <w:sz w:val="18"/>
                <w:szCs w:val="18"/>
              </w:rPr>
              <w:t xml:space="preserve">hey can read independently, by </w:t>
            </w:r>
            <w:r w:rsidR="00845C8F" w:rsidRPr="00845C8F">
              <w:rPr>
                <w:rFonts w:cstheme="minorHAnsi"/>
                <w:sz w:val="18"/>
                <w:szCs w:val="18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45C8F" w:rsidRPr="00845C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br w:type="page"/>
              <w:t>Plot character and setting</w:t>
            </w:r>
          </w:p>
        </w:tc>
        <w:tc>
          <w:tcPr>
            <w:tcW w:w="1418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 xml:space="preserve">George </w:t>
            </w:r>
            <w:proofErr w:type="spellStart"/>
            <w:r w:rsidRPr="00845C8F">
              <w:rPr>
                <w:rFonts w:cstheme="minorHAnsi"/>
                <w:sz w:val="18"/>
                <w:szCs w:val="18"/>
              </w:rPr>
              <w:t>Lambchop</w:t>
            </w:r>
            <w:proofErr w:type="spellEnd"/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845C8F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>understand what they read, in books they can read independently, by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45C8F" w:rsidRPr="00845C8F">
              <w:rPr>
                <w:rFonts w:cstheme="minorHAnsi"/>
                <w:sz w:val="18"/>
                <w:szCs w:val="18"/>
              </w:rPr>
              <w:t>identifying how language, structure, and presentation contribute to meaning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45C8F" w:rsidRPr="00845C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418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Chapters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845C8F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>understand what they read, in books t</w:t>
            </w:r>
            <w:r>
              <w:rPr>
                <w:rFonts w:cstheme="minorHAnsi"/>
                <w:sz w:val="18"/>
                <w:szCs w:val="18"/>
              </w:rPr>
              <w:t xml:space="preserve">hey can read independently, by </w:t>
            </w:r>
            <w:r w:rsidR="00845C8F" w:rsidRPr="00845C8F">
              <w:rPr>
                <w:rFonts w:cstheme="minorHAnsi"/>
                <w:sz w:val="18"/>
                <w:szCs w:val="18"/>
              </w:rPr>
              <w:t>identifying how language, structure, and presentation contribute to meaning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45C8F" w:rsidRPr="00845C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br w:type="page"/>
              <w:t>Talk about it</w:t>
            </w:r>
          </w:p>
        </w:tc>
        <w:tc>
          <w:tcPr>
            <w:tcW w:w="1418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Stanley hot-seat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845C8F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 xml:space="preserve">understand what they read, in books </w:t>
            </w:r>
            <w:r>
              <w:rPr>
                <w:rFonts w:cstheme="minorHAnsi"/>
                <w:sz w:val="18"/>
                <w:szCs w:val="18"/>
              </w:rPr>
              <w:t xml:space="preserve">they can read independently, by </w:t>
            </w:r>
            <w:r w:rsidR="00845C8F" w:rsidRPr="00845C8F">
              <w:rPr>
                <w:rFonts w:cstheme="minorHAnsi"/>
                <w:sz w:val="18"/>
                <w:szCs w:val="18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45C8F" w:rsidRPr="00845C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Talk about it</w:t>
            </w:r>
          </w:p>
        </w:tc>
        <w:tc>
          <w:tcPr>
            <w:tcW w:w="1418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Arthur hot-seat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845C8F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>understand what they read, in books t</w:t>
            </w:r>
            <w:r>
              <w:rPr>
                <w:rFonts w:cstheme="minorHAnsi"/>
                <w:sz w:val="18"/>
                <w:szCs w:val="18"/>
              </w:rPr>
              <w:t xml:space="preserve">hey can read independently, by </w:t>
            </w:r>
            <w:r w:rsidR="00845C8F" w:rsidRPr="00845C8F">
              <w:rPr>
                <w:rFonts w:cstheme="minorHAnsi"/>
                <w:sz w:val="18"/>
                <w:szCs w:val="18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45C8F" w:rsidRPr="00845C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Talk about it</w:t>
            </w:r>
          </w:p>
        </w:tc>
        <w:tc>
          <w:tcPr>
            <w:tcW w:w="1418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Favourite moment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845C8F" w:rsidRDefault="00B3118E" w:rsidP="00845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>participate in discussion about both books that are read to them and those they can read for themselves, taking turns and listening to what others say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475211" w:rsidRPr="00845C8F" w:rsidRDefault="00475211" w:rsidP="00845C8F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845C8F" w:rsidRPr="00B3118E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B3118E">
              <w:rPr>
                <w:rFonts w:cstheme="minorHAnsi"/>
                <w:b/>
                <w:sz w:val="18"/>
                <w:szCs w:val="18"/>
              </w:rPr>
              <w:t>Years 5-6 programme of study: READING: Comprehension</w:t>
            </w:r>
          </w:p>
          <w:p w:rsidR="00845C8F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B3118E">
              <w:rPr>
                <w:rFonts w:cstheme="minorHAnsi"/>
                <w:sz w:val="18"/>
                <w:szCs w:val="18"/>
              </w:rPr>
              <w:t>provide reasoned justifications for their views</w:t>
            </w:r>
            <w:r w:rsidRPr="00B3118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Talk about it</w:t>
            </w:r>
          </w:p>
        </w:tc>
        <w:tc>
          <w:tcPr>
            <w:tcW w:w="1418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Feelings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845C8F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 xml:space="preserve">understand what they read, in books </w:t>
            </w:r>
            <w:r>
              <w:rPr>
                <w:rFonts w:cstheme="minorHAnsi"/>
                <w:sz w:val="18"/>
                <w:szCs w:val="18"/>
              </w:rPr>
              <w:t xml:space="preserve">they can read independently, by </w:t>
            </w:r>
            <w:r w:rsidR="00845C8F" w:rsidRPr="00845C8F">
              <w:rPr>
                <w:rFonts w:cstheme="minorHAnsi"/>
                <w:sz w:val="18"/>
                <w:szCs w:val="18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lastRenderedPageBreak/>
              <w:br w:type="page"/>
              <w:t>Talk about it</w:t>
            </w:r>
          </w:p>
        </w:tc>
        <w:tc>
          <w:tcPr>
            <w:tcW w:w="1418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Flat Stanley’s travels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 xml:space="preserve">Lower Key Stage 2 – Years 3-4 </w:t>
            </w:r>
          </w:p>
          <w:p w:rsidR="00845C8F" w:rsidRPr="00845C8F" w:rsidRDefault="00845C8F" w:rsidP="00475211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Specific requirements for pupils to discuss what they are learning and to develop their wider skills in spoken language form part of this programme of study. In Years 3 and 4, pupils should become more familiar with and confident in using language in a greater variety of situations, for a variety of audiences and purposes, including through drama, formal presentations and debate.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Talk about it</w:t>
            </w:r>
          </w:p>
        </w:tc>
        <w:tc>
          <w:tcPr>
            <w:tcW w:w="1418" w:type="dxa"/>
          </w:tcPr>
          <w:p w:rsidR="00845C8F" w:rsidRPr="00845C8F" w:rsidRDefault="00845C8F" w:rsidP="00F62B19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Dressing Flat Stanley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845C8F" w:rsidRPr="00845C8F" w:rsidRDefault="00B3118E" w:rsidP="00B31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>participate in discussion about both books that are read to them and those they can read for themselves, taking turns and listening to what others say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845C8F" w:rsidRPr="00845C8F" w:rsidRDefault="00845C8F" w:rsidP="00845C8F">
            <w:pPr>
              <w:rPr>
                <w:rFonts w:cstheme="minorHAnsi"/>
                <w:sz w:val="18"/>
                <w:szCs w:val="18"/>
              </w:rPr>
            </w:pPr>
          </w:p>
          <w:p w:rsidR="00845C8F" w:rsidRPr="00B3118E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B3118E">
              <w:rPr>
                <w:rFonts w:cstheme="minorHAnsi"/>
                <w:b/>
                <w:sz w:val="18"/>
                <w:szCs w:val="18"/>
              </w:rPr>
              <w:t>Years 5-6 programme of study: READING: Comprehension</w:t>
            </w:r>
          </w:p>
          <w:p w:rsidR="00845C8F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B3118E">
              <w:rPr>
                <w:rFonts w:cstheme="minorHAnsi"/>
                <w:sz w:val="18"/>
                <w:szCs w:val="18"/>
              </w:rPr>
              <w:t>provide reasoned justifications for their views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br w:type="page"/>
              <w:t>Get writing</w:t>
            </w:r>
          </w:p>
        </w:tc>
        <w:tc>
          <w:tcPr>
            <w:tcW w:w="1418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Instructions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WRITING: Composition</w:t>
            </w:r>
          </w:p>
          <w:p w:rsidR="00845C8F" w:rsidRPr="00845C8F" w:rsidRDefault="00B3118E" w:rsidP="0047521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845C8F" w:rsidRPr="00845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 non-narrative material, using simple organisational devices such as headings and sub-headings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845C8F" w:rsidRPr="00845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Get writing</w:t>
            </w:r>
          </w:p>
        </w:tc>
        <w:tc>
          <w:tcPr>
            <w:tcW w:w="1418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Wanted!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775" w:type="dxa"/>
          </w:tcPr>
          <w:p w:rsidR="00845C8F" w:rsidRPr="00B3118E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B3118E">
              <w:rPr>
                <w:rFonts w:cstheme="minorHAnsi"/>
                <w:b/>
                <w:sz w:val="18"/>
                <w:szCs w:val="18"/>
              </w:rPr>
              <w:t>Years 5-6 programme of study: WRITING: Composition</w:t>
            </w:r>
          </w:p>
          <w:p w:rsidR="00845C8F" w:rsidRPr="00845C8F" w:rsidRDefault="00B3118E" w:rsidP="0047521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845C8F" w:rsidRPr="00B3118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selecting appropriate grammar and vocabulary, understanding how such choices can change and enhance meaning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Get writing</w:t>
            </w:r>
          </w:p>
        </w:tc>
        <w:tc>
          <w:tcPr>
            <w:tcW w:w="1418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Headline news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WRITING: Composition</w:t>
            </w:r>
          </w:p>
          <w:p w:rsidR="00845C8F" w:rsidRPr="00845C8F" w:rsidRDefault="00B3118E" w:rsidP="0047521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845C8F" w:rsidRPr="00845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 non-narrative material, using simple organisational devices such as headings and sub-headings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845C8F" w:rsidRPr="00845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br w:type="page"/>
              <w:t>Get writing</w:t>
            </w:r>
          </w:p>
        </w:tc>
        <w:tc>
          <w:tcPr>
            <w:tcW w:w="1418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Story settings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845C8F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>understand what they read, in books t</w:t>
            </w:r>
            <w:r>
              <w:rPr>
                <w:rFonts w:cstheme="minorHAnsi"/>
                <w:sz w:val="18"/>
                <w:szCs w:val="18"/>
              </w:rPr>
              <w:t xml:space="preserve">hey can read independently, by </w:t>
            </w:r>
            <w:r w:rsidR="00845C8F" w:rsidRPr="00845C8F">
              <w:rPr>
                <w:rFonts w:cstheme="minorHAnsi"/>
                <w:sz w:val="18"/>
                <w:szCs w:val="18"/>
              </w:rPr>
              <w:t>identifying main ideas drawn from more than one paragraph and summarising these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Get writing</w:t>
            </w:r>
          </w:p>
        </w:tc>
        <w:tc>
          <w:tcPr>
            <w:tcW w:w="1418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Borrow the plot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WRITING: Composition</w:t>
            </w:r>
          </w:p>
          <w:p w:rsidR="00845C8F" w:rsidRPr="00845C8F" w:rsidRDefault="00B3118E" w:rsidP="0047521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845C8F" w:rsidRPr="00845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 narratives, creating settings, characters and plot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Get writing</w:t>
            </w:r>
          </w:p>
        </w:tc>
        <w:tc>
          <w:tcPr>
            <w:tcW w:w="1418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Book review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WRITING: Composition</w:t>
            </w:r>
          </w:p>
          <w:p w:rsidR="00845C8F" w:rsidRPr="00845C8F" w:rsidRDefault="00B3118E" w:rsidP="00B3118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</w:t>
            </w:r>
            <w:r w:rsidR="00845C8F" w:rsidRPr="00845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plan their writing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by </w:t>
            </w:r>
            <w:r w:rsidR="00845C8F" w:rsidRPr="00845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discussing and recording ideas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:rsidR="00845C8F" w:rsidRPr="00845C8F" w:rsidRDefault="00B3118E" w:rsidP="0047521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845C8F" w:rsidRPr="00845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 non-narrative material, using simple organisational devices such as headings and sub-headings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</w:tr>
      <w:tr w:rsidR="00845C8F" w:rsidRPr="00845C8F" w:rsidTr="00A6687F">
        <w:trPr>
          <w:cantSplit/>
        </w:trPr>
        <w:tc>
          <w:tcPr>
            <w:tcW w:w="1242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br w:type="page"/>
              <w:t>Assessment</w:t>
            </w:r>
          </w:p>
        </w:tc>
        <w:tc>
          <w:tcPr>
            <w:tcW w:w="1418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Tell me why</w:t>
            </w:r>
          </w:p>
        </w:tc>
        <w:tc>
          <w:tcPr>
            <w:tcW w:w="707" w:type="dxa"/>
          </w:tcPr>
          <w:p w:rsidR="00845C8F" w:rsidRPr="00845C8F" w:rsidRDefault="00845C8F" w:rsidP="00E764D8">
            <w:pPr>
              <w:rPr>
                <w:rFonts w:cstheme="minorHAnsi"/>
                <w:sz w:val="18"/>
                <w:szCs w:val="18"/>
              </w:rPr>
            </w:pPr>
            <w:r w:rsidRPr="00845C8F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775" w:type="dxa"/>
          </w:tcPr>
          <w:p w:rsidR="00845C8F" w:rsidRPr="00845C8F" w:rsidRDefault="00845C8F" w:rsidP="00845C8F">
            <w:pPr>
              <w:rPr>
                <w:rFonts w:cstheme="minorHAnsi"/>
                <w:b/>
                <w:sz w:val="18"/>
                <w:szCs w:val="18"/>
              </w:rPr>
            </w:pPr>
            <w:r w:rsidRPr="00845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845C8F" w:rsidRPr="00845C8F" w:rsidRDefault="00B3118E" w:rsidP="004752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845C8F" w:rsidRPr="00845C8F">
              <w:rPr>
                <w:rFonts w:cstheme="minorHAnsi"/>
                <w:sz w:val="18"/>
                <w:szCs w:val="18"/>
              </w:rPr>
              <w:t>understand what they read, in books t</w:t>
            </w:r>
            <w:r>
              <w:rPr>
                <w:rFonts w:cstheme="minorHAnsi"/>
                <w:sz w:val="18"/>
                <w:szCs w:val="18"/>
              </w:rPr>
              <w:t xml:space="preserve">hey can read independently, by </w:t>
            </w:r>
            <w:r w:rsidR="00845C8F" w:rsidRPr="00845C8F">
              <w:rPr>
                <w:rFonts w:cstheme="minorHAnsi"/>
                <w:sz w:val="18"/>
                <w:szCs w:val="18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45C8F" w:rsidRPr="00845C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134A8C" w:rsidRPr="00845C8F" w:rsidRDefault="00134A8C" w:rsidP="00F62B19">
      <w:pPr>
        <w:rPr>
          <w:rFonts w:cstheme="minorHAnsi"/>
          <w:sz w:val="18"/>
          <w:szCs w:val="18"/>
        </w:rPr>
      </w:pPr>
    </w:p>
    <w:p w:rsidR="00F62B19" w:rsidRPr="00845C8F" w:rsidRDefault="00F62B19" w:rsidP="00F62B19">
      <w:pPr>
        <w:rPr>
          <w:rFonts w:cstheme="minorHAnsi"/>
          <w:sz w:val="18"/>
          <w:szCs w:val="18"/>
        </w:rPr>
      </w:pPr>
    </w:p>
    <w:sectPr w:rsidR="00F62B19" w:rsidRPr="00845C8F" w:rsidSect="0012258A">
      <w:headerReference w:type="default" r:id="rId9"/>
      <w:footerReference w:type="default" r:id="rId10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29" w:rsidRDefault="00001A29" w:rsidP="00E0747F">
      <w:r>
        <w:separator/>
      </w:r>
    </w:p>
  </w:endnote>
  <w:endnote w:type="continuationSeparator" w:id="0">
    <w:p w:rsidR="00001A29" w:rsidRDefault="00001A29" w:rsidP="00E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-1754814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4D8" w:rsidRPr="00E64AF1" w:rsidRDefault="00E764D8" w:rsidP="00B25F10">
        <w:pPr>
          <w:pStyle w:val="Caption"/>
          <w:tabs>
            <w:tab w:val="right" w:pos="8280"/>
          </w:tabs>
          <w:jc w:val="left"/>
          <w:rPr>
            <w:rFonts w:ascii="Verdana" w:hAnsi="Verdana"/>
            <w:b w:val="0"/>
            <w:sz w:val="20"/>
            <w:szCs w:val="20"/>
          </w:rPr>
        </w:pPr>
      </w:p>
      <w:p w:rsidR="00E764D8" w:rsidRDefault="00A6687F" w:rsidP="0012258A">
        <w:pPr>
          <w:pStyle w:val="Footer"/>
          <w:jc w:val="center"/>
        </w:pPr>
        <w:hyperlink r:id="rId1" w:history="1">
          <w:r w:rsidR="00E764D8" w:rsidRPr="00E2191F">
            <w:rPr>
              <w:rStyle w:val="Hyperlink"/>
            </w:rPr>
            <w:t>www.scholastic.co.uk/readandrespond</w:t>
          </w:r>
        </w:hyperlink>
        <w:r w:rsidR="00E764D8">
          <w:t xml:space="preserve"> </w:t>
        </w:r>
        <w:r w:rsidR="00E764D8" w:rsidRPr="0012258A">
          <w:t xml:space="preserve"> </w:t>
        </w:r>
        <w:r w:rsidR="00E764D8">
          <w:rPr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58240" behindDoc="0" locked="0" layoutInCell="1" allowOverlap="1" wp14:anchorId="7F66DDD1" wp14:editId="285893C9">
              <wp:simplePos x="0" y="0"/>
              <wp:positionH relativeFrom="column">
                <wp:posOffset>-276225</wp:posOffset>
              </wp:positionH>
              <wp:positionV relativeFrom="paragraph">
                <wp:posOffset>59690</wp:posOffset>
              </wp:positionV>
              <wp:extent cx="1343025" cy="180975"/>
              <wp:effectExtent l="0" t="0" r="9525" b="9525"/>
              <wp:wrapNone/>
              <wp:docPr id="1" name="Picture 1" descr="logob&amp;wnobl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b&amp;wnoble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64D8">
          <w:t xml:space="preserve"> </w:t>
        </w:r>
      </w:p>
      <w:p w:rsidR="00E764D8" w:rsidRDefault="00E764D8" w:rsidP="00122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29" w:rsidRDefault="00001A29" w:rsidP="00E0747F">
      <w:r>
        <w:separator/>
      </w:r>
    </w:p>
  </w:footnote>
  <w:footnote w:type="continuationSeparator" w:id="0">
    <w:p w:rsidR="00001A29" w:rsidRDefault="00001A29" w:rsidP="00E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D8" w:rsidRPr="00386E1A" w:rsidRDefault="00E764D8" w:rsidP="00386E1A">
    <w:pPr>
      <w:jc w:val="center"/>
      <w:rPr>
        <w:b/>
      </w:rPr>
    </w:pPr>
    <w:r w:rsidRPr="00B25F10">
      <w:rPr>
        <w:b/>
        <w:i/>
      </w:rPr>
      <w:t xml:space="preserve">Read &amp; Respond </w:t>
    </w:r>
    <w:r w:rsidR="00CC75F0">
      <w:rPr>
        <w:b/>
        <w:i/>
      </w:rPr>
      <w:t>Flat Stanley</w:t>
    </w:r>
    <w:r w:rsidRPr="0044356B">
      <w:rPr>
        <w:b/>
      </w:rPr>
      <w:t>: C</w:t>
    </w:r>
    <w:r>
      <w:rPr>
        <w:b/>
      </w:rPr>
      <w:t>orrelation to the 2014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B61"/>
    <w:multiLevelType w:val="hybridMultilevel"/>
    <w:tmpl w:val="31608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938F8"/>
    <w:multiLevelType w:val="hybridMultilevel"/>
    <w:tmpl w:val="C7F45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81538"/>
    <w:multiLevelType w:val="hybridMultilevel"/>
    <w:tmpl w:val="9A98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7B077A"/>
    <w:multiLevelType w:val="hybridMultilevel"/>
    <w:tmpl w:val="273A2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7"/>
    <w:rsid w:val="00001A29"/>
    <w:rsid w:val="00011603"/>
    <w:rsid w:val="00026325"/>
    <w:rsid w:val="000958F4"/>
    <w:rsid w:val="00110026"/>
    <w:rsid w:val="00114896"/>
    <w:rsid w:val="0012258A"/>
    <w:rsid w:val="00134A8C"/>
    <w:rsid w:val="00141531"/>
    <w:rsid w:val="00194372"/>
    <w:rsid w:val="001B4883"/>
    <w:rsid w:val="001E210A"/>
    <w:rsid w:val="00300F06"/>
    <w:rsid w:val="003322B6"/>
    <w:rsid w:val="003636EB"/>
    <w:rsid w:val="00386E1A"/>
    <w:rsid w:val="003E1D57"/>
    <w:rsid w:val="003F1DF3"/>
    <w:rsid w:val="0044356B"/>
    <w:rsid w:val="004676F9"/>
    <w:rsid w:val="00475211"/>
    <w:rsid w:val="004A3B36"/>
    <w:rsid w:val="004F3B08"/>
    <w:rsid w:val="005061EA"/>
    <w:rsid w:val="00540E84"/>
    <w:rsid w:val="005716A0"/>
    <w:rsid w:val="00574C8C"/>
    <w:rsid w:val="00607554"/>
    <w:rsid w:val="006C247D"/>
    <w:rsid w:val="00701F96"/>
    <w:rsid w:val="0076207F"/>
    <w:rsid w:val="007844E1"/>
    <w:rsid w:val="007C1A11"/>
    <w:rsid w:val="007E203B"/>
    <w:rsid w:val="007E6449"/>
    <w:rsid w:val="008100A9"/>
    <w:rsid w:val="00845C8F"/>
    <w:rsid w:val="008B74D8"/>
    <w:rsid w:val="008C1E6E"/>
    <w:rsid w:val="00912FA5"/>
    <w:rsid w:val="00995DE2"/>
    <w:rsid w:val="009C27F8"/>
    <w:rsid w:val="009E670B"/>
    <w:rsid w:val="00A6687F"/>
    <w:rsid w:val="00AA1DB9"/>
    <w:rsid w:val="00AB60C0"/>
    <w:rsid w:val="00B25F10"/>
    <w:rsid w:val="00B3118E"/>
    <w:rsid w:val="00B37814"/>
    <w:rsid w:val="00BC2ED5"/>
    <w:rsid w:val="00BC4BB1"/>
    <w:rsid w:val="00C11309"/>
    <w:rsid w:val="00C17A1C"/>
    <w:rsid w:val="00C36B93"/>
    <w:rsid w:val="00C46855"/>
    <w:rsid w:val="00CB51A4"/>
    <w:rsid w:val="00CC75F0"/>
    <w:rsid w:val="00E0747F"/>
    <w:rsid w:val="00E44D91"/>
    <w:rsid w:val="00E764D8"/>
    <w:rsid w:val="00EA4336"/>
    <w:rsid w:val="00F57E6E"/>
    <w:rsid w:val="00F62B19"/>
    <w:rsid w:val="00FC15AC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www.scholastic.co.uk/readand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D685-765B-4D12-BA11-D5E2587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Mackinnon, Rachel</dc:creator>
  <cp:lastModifiedBy>Morgan, Rachel</cp:lastModifiedBy>
  <cp:revision>4</cp:revision>
  <dcterms:created xsi:type="dcterms:W3CDTF">2013-06-12T08:30:00Z</dcterms:created>
  <dcterms:modified xsi:type="dcterms:W3CDTF">2013-08-15T15:22:00Z</dcterms:modified>
</cp:coreProperties>
</file>